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05C11" w14:textId="643AFC2B" w:rsidR="00D75BC2" w:rsidRPr="00D75BC2" w:rsidRDefault="0093483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72138B04">
                <wp:simplePos x="0" y="0"/>
                <wp:positionH relativeFrom="margin">
                  <wp:posOffset>-540385</wp:posOffset>
                </wp:positionH>
                <wp:positionV relativeFrom="paragraph">
                  <wp:posOffset>-523876</wp:posOffset>
                </wp:positionV>
                <wp:extent cx="7915910" cy="2638425"/>
                <wp:effectExtent l="0" t="0" r="889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2638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606256F3" w:rsidR="0093483E" w:rsidRPr="00711B47" w:rsidRDefault="0093483E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711B47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711B47" w:rsidRPr="00711B47">
                                <w:rPr>
                                  <w:rFonts w:cs="Microsoft Sans Serif"/>
                                </w:rPr>
                                <w:t>25MAPA007</w:t>
                              </w:r>
                              <w:r w:rsidRPr="00711B47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6433A266" w14:textId="0C4A1F14" w:rsidR="0093483E" w:rsidRPr="00711B47" w:rsidRDefault="00711B47" w:rsidP="00711B47">
                              <w:pPr>
                                <w:spacing w:before="120" w:after="120"/>
                                <w:ind w:right="804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 w:rsidRPr="00711B47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Animation des sessions du programme de “sensibilisation prévention - sécurité” du Grand paris express</w:t>
                              </w:r>
                            </w:p>
                            <w:p w14:paraId="3C0912E9" w14:textId="025BA716" w:rsidR="0093483E" w:rsidRPr="00711B47" w:rsidRDefault="000E14A0" w:rsidP="000E14A0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0E14A0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>Lot 2 : « Direction et encadrement de projet » et</w:t>
                              </w:r>
                              <w:proofErr w:type="gramStart"/>
                              <w:r w:rsidRPr="000E14A0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«Compagnons</w:t>
                              </w:r>
                              <w:proofErr w:type="gramEnd"/>
                              <w:r w:rsidRPr="000E14A0"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et équipes terrain » – Journées d’arrêt des chantiers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5155A" id="Groupe 10" o:spid="_x0000_s1026" style="position:absolute;left:0;text-align:left;margin-left:-42.55pt;margin-top:-41.25pt;width:623.3pt;height:207.75pt;z-index:-251656704;mso-position-horizontal-relative:margin;mso-width-relative:margin;mso-height-relative:margin" coordorigin="-3532" coordsize="79161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9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606256F3" w:rsidR="0093483E" w:rsidRPr="00711B47" w:rsidRDefault="0093483E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711B47">
                          <w:rPr>
                            <w:rFonts w:cs="Microsoft Sans Serif"/>
                          </w:rPr>
                          <w:t>20</w:t>
                        </w:r>
                        <w:r w:rsidR="00711B47" w:rsidRPr="00711B47">
                          <w:rPr>
                            <w:rFonts w:cs="Microsoft Sans Serif"/>
                          </w:rPr>
                          <w:t>25MAPA007</w:t>
                        </w:r>
                        <w:r w:rsidRPr="00711B47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14:paraId="6433A266" w14:textId="0C4A1F14" w:rsidR="0093483E" w:rsidRPr="00711B47" w:rsidRDefault="00711B47" w:rsidP="00711B47">
                        <w:pPr>
                          <w:spacing w:before="120" w:after="120"/>
                          <w:ind w:right="804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  <w:r w:rsidRPr="00711B47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Animation des sessions du programme de “sensibilisation prévention - sécurité” du Grand paris express</w:t>
                        </w:r>
                      </w:p>
                      <w:p w14:paraId="3C0912E9" w14:textId="025BA716" w:rsidR="0093483E" w:rsidRPr="00711B47" w:rsidRDefault="000E14A0" w:rsidP="000E14A0">
                        <w:pPr>
                          <w:rPr>
                            <w:color w:val="FFFFFF" w:themeColor="background1"/>
                          </w:rPr>
                        </w:pPr>
                        <w:r w:rsidRPr="000E14A0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>Lot 2 : « Direction et encadrement de projet » et</w:t>
                        </w:r>
                        <w:proofErr w:type="gramStart"/>
                        <w:r w:rsidRPr="000E14A0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 «Compagnons</w:t>
                        </w:r>
                        <w:proofErr w:type="gramEnd"/>
                        <w:r w:rsidRPr="000E14A0"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  <w:t xml:space="preserve"> et équipes terrain » – Journées d’arrêt des chantiers  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468632DD" w14:textId="77777777" w:rsidR="00711B47" w:rsidRDefault="00711B47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FF29F3F" w14:textId="77777777" w:rsidR="00711B47" w:rsidRDefault="00711B47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16B2BF2" w14:textId="77777777" w:rsidR="00711B47" w:rsidRDefault="00711B47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5-11-20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14:paraId="0D5EF474" w14:textId="6D430CAE" w:rsidR="003D33C2" w:rsidRPr="00D21399" w:rsidRDefault="000E14A0" w:rsidP="00F63144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20/11/2025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78CEB67B" w:rsidR="003D33C2" w:rsidRPr="00D21399" w:rsidRDefault="00711B47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Première version</w:t>
            </w:r>
          </w:p>
        </w:tc>
        <w:tc>
          <w:tcPr>
            <w:tcW w:w="2089" w:type="dxa"/>
          </w:tcPr>
          <w:p w14:paraId="0D5EF477" w14:textId="583D25D8" w:rsidR="003D33C2" w:rsidRPr="00D21399" w:rsidRDefault="00711B47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LME</w:t>
            </w:r>
          </w:p>
        </w:tc>
        <w:tc>
          <w:tcPr>
            <w:tcW w:w="2333" w:type="dxa"/>
          </w:tcPr>
          <w:p w14:paraId="0D5EF478" w14:textId="5AA806B8" w:rsidR="003D33C2" w:rsidRPr="00D21399" w:rsidRDefault="00711B47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CRI</w:t>
            </w: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706C655E" w:rsidR="00DE7D19" w:rsidRPr="00711B47" w:rsidRDefault="00DE7D19" w:rsidP="00DE7D19">
      <w:pPr>
        <w:rPr>
          <w:rFonts w:cs="Microsoft Sans Serif"/>
        </w:rPr>
      </w:pPr>
      <w:bookmarkStart w:id="0" w:name="_Hlk22920681"/>
      <w:r w:rsidRPr="00711B47">
        <w:rPr>
          <w:rFonts w:cs="Microsoft Sans Serif"/>
        </w:rPr>
        <w:t xml:space="preserve">Entité adjudicatrice </w:t>
      </w:r>
      <w:bookmarkEnd w:id="0"/>
    </w:p>
    <w:p w14:paraId="3D935E26" w14:textId="77777777" w:rsidR="006158CD" w:rsidRPr="00711B47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 w:rsidRPr="00711B47">
        <w:rPr>
          <w:rFonts w:cs="Microsoft Sans Serif"/>
          <w:b/>
          <w:caps/>
        </w:rPr>
        <w:t>Société DES GRANDS PROJETS</w:t>
      </w:r>
    </w:p>
    <w:p w14:paraId="1D53E64E" w14:textId="77777777" w:rsidR="00DE7D19" w:rsidRPr="00711B47" w:rsidRDefault="00DE7D19" w:rsidP="00DE7D19">
      <w:pPr>
        <w:spacing w:after="0" w:line="240" w:lineRule="auto"/>
        <w:jc w:val="both"/>
        <w:rPr>
          <w:rFonts w:cs="Microsoft Sans Serif"/>
        </w:rPr>
      </w:pPr>
      <w:r w:rsidRPr="00711B47">
        <w:rPr>
          <w:rFonts w:cs="Microsoft Sans Serif"/>
        </w:rPr>
        <w:t>Immeuble « </w:t>
      </w:r>
      <w:proofErr w:type="spellStart"/>
      <w:r w:rsidRPr="00711B47">
        <w:rPr>
          <w:rFonts w:cs="Microsoft Sans Serif"/>
        </w:rPr>
        <w:t>Moods</w:t>
      </w:r>
      <w:proofErr w:type="spellEnd"/>
      <w:r w:rsidRPr="00711B47">
        <w:rPr>
          <w:rFonts w:cs="Microsoft Sans Serif"/>
        </w:rPr>
        <w:t> »</w:t>
      </w:r>
    </w:p>
    <w:p w14:paraId="36B6F3C3" w14:textId="77777777" w:rsidR="00DE7D19" w:rsidRPr="00711B47" w:rsidRDefault="00DE7D19" w:rsidP="00DE7D19">
      <w:pPr>
        <w:spacing w:after="0" w:line="240" w:lineRule="auto"/>
        <w:jc w:val="both"/>
        <w:rPr>
          <w:rFonts w:cs="Microsoft Sans Serif"/>
        </w:rPr>
      </w:pPr>
      <w:r w:rsidRPr="00711B47">
        <w:rPr>
          <w:rFonts w:cs="Microsoft Sans Serif"/>
        </w:rPr>
        <w:t xml:space="preserve">2-4 mail de la petite Espagne </w:t>
      </w:r>
    </w:p>
    <w:p w14:paraId="23B246E0" w14:textId="77777777" w:rsidR="00DE7D19" w:rsidRDefault="00DE7D19" w:rsidP="00DE7D19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0955BA59" w14:textId="77777777" w:rsidR="00DE7D19" w:rsidRDefault="00DE7D19" w:rsidP="00DE7D19">
      <w:pPr>
        <w:rPr>
          <w:rFonts w:cs="Microsoft Sans Serif"/>
        </w:rPr>
      </w:pPr>
    </w:p>
    <w:p w14:paraId="38DA99EF" w14:textId="77777777" w:rsidR="00DE7D19" w:rsidRDefault="00DE7D19" w:rsidP="00DE7D19">
      <w:pPr>
        <w:rPr>
          <w:rFonts w:cs="Microsoft Sans Serif"/>
        </w:rPr>
      </w:pPr>
    </w:p>
    <w:p w14:paraId="238EBC4F" w14:textId="612A3162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2AB56A86" w14:textId="77777777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53891303" w14:textId="77777777" w:rsidR="00836892" w:rsidRDefault="00836892" w:rsidP="0065018E">
      <w:pPr>
        <w:rPr>
          <w:rFonts w:cs="Microsoft Sans Serif"/>
        </w:rPr>
      </w:pPr>
    </w:p>
    <w:p w14:paraId="0D5EF49E" w14:textId="5496C21F" w:rsidR="00C92FDA" w:rsidRPr="00D21399" w:rsidRDefault="00C92FDA" w:rsidP="0065018E">
      <w:pPr>
        <w:rPr>
          <w:rFonts w:cs="Microsoft Sans Serif"/>
        </w:rPr>
        <w:sectPr w:rsidR="00C92FDA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641ADF" w:rsidRDefault="0065018E" w:rsidP="0065018E">
      <w:pPr>
        <w:rPr>
          <w:rFonts w:cs="Microsoft Sans Serif"/>
        </w:rPr>
      </w:pPr>
    </w:p>
    <w:p w14:paraId="7A29D3AC" w14:textId="05AF4D7F" w:rsidR="00A06E12" w:rsidRPr="00641ADF" w:rsidRDefault="004051CB" w:rsidP="00A06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641ADF">
        <w:rPr>
          <w:rFonts w:cs="Microsoft Sans Serif"/>
          <w:b/>
          <w:lang w:val="fr-CA"/>
        </w:rPr>
        <w:t>Accord-cadre</w:t>
      </w:r>
      <w:r w:rsidR="00A06E12" w:rsidRPr="00641ADF">
        <w:rPr>
          <w:rFonts w:cs="Microsoft Sans Serif"/>
          <w:b/>
          <w:lang w:val="fr-CA"/>
        </w:rPr>
        <w:t xml:space="preserve"> N°20</w:t>
      </w:r>
      <w:r w:rsidR="00641ADF" w:rsidRPr="00641ADF">
        <w:rPr>
          <w:rFonts w:cs="Microsoft Sans Serif"/>
          <w:b/>
          <w:lang w:val="fr-CA"/>
        </w:rPr>
        <w:t>25MAPA007</w:t>
      </w:r>
      <w:r w:rsidR="00A06E12" w:rsidRPr="00641ADF">
        <w:rPr>
          <w:rFonts w:cs="Microsoft Sans Serif"/>
          <w:b/>
          <w:lang w:val="fr-CA"/>
        </w:rPr>
        <w:t xml:space="preserve"> – LOT </w:t>
      </w:r>
      <w:r w:rsidR="00A765EC">
        <w:rPr>
          <w:rFonts w:cs="Microsoft Sans Serif"/>
          <w:b/>
          <w:lang w:val="fr-CA"/>
        </w:rPr>
        <w:t>2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6" w14:textId="303229AE" w:rsidR="007308DC" w:rsidRPr="00641ADF" w:rsidRDefault="00005311" w:rsidP="0000531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r w:rsidRPr="00641ADF">
        <w:rPr>
          <w:rFonts w:cs="Microsoft Sans Serif"/>
        </w:rPr>
        <w:t xml:space="preserve">Accord cadre à bons de commande </w:t>
      </w:r>
      <w:r w:rsidR="00D75BC2" w:rsidRPr="00641ADF">
        <w:rPr>
          <w:rFonts w:cs="Microsoft Sans Serif"/>
        </w:rPr>
        <w:t>multi-attributaires</w:t>
      </w:r>
      <w:r w:rsidRPr="00641ADF">
        <w:rPr>
          <w:rFonts w:cs="Microsoft Sans Serif"/>
        </w:rPr>
        <w:t xml:space="preserve"> </w:t>
      </w:r>
      <w:r w:rsidR="00BA0562" w:rsidRPr="00641ADF">
        <w:rPr>
          <w:rFonts w:cs="Microsoft Sans Serif"/>
        </w:rPr>
        <w:t xml:space="preserve">passé en application </w:t>
      </w:r>
      <w:r w:rsidR="00085CB4" w:rsidRPr="00641ADF">
        <w:rPr>
          <w:rFonts w:cs="Microsoft Sans Serif"/>
        </w:rPr>
        <w:t>de l’article R2124-4 du code de la commande publique et son déroulement est régit par les</w:t>
      </w:r>
      <w:r w:rsidR="007A02A3" w:rsidRPr="00641ADF">
        <w:rPr>
          <w:rFonts w:cs="Microsoft Sans Serif"/>
        </w:rPr>
        <w:t xml:space="preserve"> articles</w:t>
      </w:r>
      <w:r w:rsidR="00085CB4" w:rsidRPr="00641ADF">
        <w:rPr>
          <w:rFonts w:cs="Microsoft Sans Serif"/>
        </w:rPr>
        <w:t xml:space="preserve"> R2161-21 à R2161-23 du code de la commande publique.</w:t>
      </w:r>
    </w:p>
    <w:p w14:paraId="0D5EF4A7" w14:textId="77777777" w:rsidR="00EB7FC9" w:rsidRPr="000C6F4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7084B510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641ADF">
              <w:rPr>
                <w:rFonts w:cs="Microsoft Sans Serif"/>
                <w:b/>
                <w:bCs/>
              </w:rPr>
              <w:t>Entité Adjudicatrice</w:t>
            </w:r>
            <w:r w:rsidR="00641ADF" w:rsidRPr="00641ADF">
              <w:rPr>
                <w:rFonts w:cs="Microsoft Sans Serif"/>
                <w:b/>
                <w:bCs/>
              </w:rPr>
              <w:t> :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0FE71F49" w:rsidR="007308DC" w:rsidRPr="00D21399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 xml:space="preserve">, Immeuble </w:t>
            </w:r>
            <w:proofErr w:type="spellStart"/>
            <w:r w:rsidRPr="00DE43B4">
              <w:rPr>
                <w:rFonts w:cs="Microsoft Sans Serif"/>
                <w:color w:val="000000"/>
              </w:rPr>
              <w:t>Moods</w:t>
            </w:r>
            <w:proofErr w:type="spellEnd"/>
            <w:r w:rsidRPr="00DE43B4">
              <w:rPr>
                <w:rFonts w:cs="Microsoft Sans Serif"/>
                <w:color w:val="000000"/>
              </w:rPr>
              <w:t>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3D730906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12938A63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="00CD6E11" w:rsidRPr="00CD6E11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JANVIER </w:t>
            </w:r>
            <w:r w:rsidR="00EA3CAD" w:rsidRPr="00641ADF">
              <w:rPr>
                <w:rFonts w:cs="Microsoft Sans Serif"/>
                <w:b/>
                <w:shd w:val="clear" w:color="auto" w:fill="AEAAAA" w:themeFill="background2" w:themeFillShade="BF"/>
              </w:rPr>
              <w:t>20</w:t>
            </w:r>
            <w:r w:rsidR="00641ADF" w:rsidRPr="00641ADF">
              <w:rPr>
                <w:rFonts w:cs="Microsoft Sans Serif"/>
                <w:b/>
                <w:shd w:val="clear" w:color="auto" w:fill="AEAAAA" w:themeFill="background2" w:themeFillShade="BF"/>
              </w:rPr>
              <w:t>2</w:t>
            </w:r>
            <w:r w:rsidR="000E14A0">
              <w:rPr>
                <w:rFonts w:cs="Microsoft Sans Serif"/>
                <w:b/>
                <w:shd w:val="clear" w:color="auto" w:fill="AEAAAA" w:themeFill="background2" w:themeFillShade="BF"/>
              </w:rPr>
              <w:t>6</w:t>
            </w:r>
            <w:r w:rsidR="00EA3CAD" w:rsidRPr="00641ADF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 </w:t>
            </w:r>
            <w:r w:rsidRPr="00641ADF">
              <w:rPr>
                <w:rFonts w:cs="Microsoft Sans Serif"/>
                <w:b/>
                <w:shd w:val="clear" w:color="auto" w:fill="AEAAAA" w:themeFill="background2" w:themeFillShade="BF"/>
              </w:rPr>
              <w:t>(</w:t>
            </w:r>
            <w:r w:rsidRPr="00641ADF">
              <w:rPr>
                <w:rFonts w:cs="Microsoft Sans Serif"/>
              </w:rPr>
              <w:t xml:space="preserve">mois </w:t>
            </w:r>
            <w:r w:rsidRPr="00D21399">
              <w:rPr>
                <w:rFonts w:cs="Microsoft Sans Serif"/>
                <w:color w:val="000000"/>
              </w:rPr>
              <w:t>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36D8D38B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6158CD">
        <w:rPr>
          <w:rFonts w:cs="Microsoft Sans Serif"/>
          <w:b/>
          <w:bCs/>
          <w:color w:val="000000"/>
        </w:rPr>
        <w:t>des grands projets</w:t>
      </w:r>
      <w:r w:rsidR="00641ADF">
        <w:rPr>
          <w:rFonts w:cs="Microsoft Sans Serif"/>
          <w:b/>
          <w:bCs/>
          <w:color w:val="000000"/>
        </w:rPr>
        <w:t>.</w:t>
      </w:r>
    </w:p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5E19177B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701F16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</w:p>
    <w:p w14:paraId="0D5EF4D0" w14:textId="492B4FED" w:rsidR="00BA0562" w:rsidRPr="00641ADF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</w:t>
      </w:r>
      <w:r w:rsidRPr="00641ADF">
        <w:rPr>
          <w:rFonts w:cs="Microsoft Sans Serif"/>
          <w:bCs/>
        </w:rPr>
        <w:t>présent accord-cadre porte sur</w:t>
      </w:r>
      <w:r w:rsidR="00641ADF" w:rsidRPr="00641ADF">
        <w:rPr>
          <w:rFonts w:cs="Microsoft Sans Serif"/>
          <w:bCs/>
        </w:rPr>
        <w:t xml:space="preserve"> l’a</w:t>
      </w:r>
      <w:r w:rsidR="00641ADF" w:rsidRPr="00024B74">
        <w:rPr>
          <w:rFonts w:cs="Microsoft Sans Serif"/>
          <w:bCs/>
        </w:rPr>
        <w:t>nimation des sessions du programme de “sensibilisation prévention - sécurité” du Grand paris express.</w:t>
      </w:r>
    </w:p>
    <w:p w14:paraId="6B894C1F" w14:textId="77777777" w:rsidR="00BF5DAE" w:rsidRPr="00641ADF" w:rsidRDefault="00BF5DAE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</w:p>
    <w:p w14:paraId="7C8EE25E" w14:textId="79739E9C" w:rsidR="00085CB4" w:rsidRPr="00085CB4" w:rsidRDefault="000E14A0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  <w:r w:rsidRPr="000E14A0">
        <w:rPr>
          <w:rFonts w:cs="Microsoft Sans Serif"/>
          <w:bCs/>
        </w:rPr>
        <w:t>Lot 2 : « Direction et encadrement de projet » et «</w:t>
      </w:r>
      <w:r w:rsidR="00CD6E11">
        <w:rPr>
          <w:rFonts w:cs="Microsoft Sans Serif"/>
          <w:bCs/>
        </w:rPr>
        <w:t xml:space="preserve"> </w:t>
      </w:r>
      <w:r w:rsidRPr="000E14A0">
        <w:rPr>
          <w:rFonts w:cs="Microsoft Sans Serif"/>
          <w:bCs/>
        </w:rPr>
        <w:t xml:space="preserve">Compagnons et équipes terrain » – Journées d’arrêt des chantiers  </w:t>
      </w: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00F21A04" w:rsidR="006061C1" w:rsidRPr="00D75BC2" w:rsidRDefault="00701F16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>
        <w:rPr>
          <w:rFonts w:cs="Microsoft Sans Serif"/>
        </w:rPr>
        <w:t xml:space="preserve">Le lot 2 </w:t>
      </w:r>
      <w:r w:rsidR="00085CB4" w:rsidRPr="00641ADF">
        <w:rPr>
          <w:rFonts w:cs="Microsoft Sans Serif"/>
        </w:rPr>
        <w:t>donne lieu à un accord cadre à bons de commande</w:t>
      </w:r>
      <w:r w:rsidR="00DD5BCE" w:rsidRPr="00641ADF">
        <w:rPr>
          <w:rFonts w:cs="Microsoft Sans Serif"/>
        </w:rPr>
        <w:t xml:space="preserve"> </w:t>
      </w:r>
      <w:r w:rsidR="00D75BC2" w:rsidRPr="00641ADF">
        <w:rPr>
          <w:rFonts w:cs="Microsoft Sans Serif"/>
        </w:rPr>
        <w:t>multi-attributaires</w:t>
      </w:r>
      <w:r w:rsidR="00085CB4" w:rsidRPr="00641ADF">
        <w:rPr>
          <w:rFonts w:cs="Microsoft Sans Serif"/>
        </w:rPr>
        <w:t xml:space="preserve"> dans </w:t>
      </w:r>
      <w:r w:rsidR="00085CB4" w:rsidRPr="00085CB4">
        <w:rPr>
          <w:rFonts w:cs="Microsoft Sans Serif"/>
        </w:rPr>
        <w:t xml:space="preserve">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02780961" w:rsidR="006061C1" w:rsidRPr="00D75BC2" w:rsidRDefault="00085CB4" w:rsidP="549B226F">
      <w:pPr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uppressAutoHyphens/>
        <w:spacing w:after="0" w:line="240" w:lineRule="auto"/>
        <w:jc w:val="both"/>
        <w:rPr>
          <w:rFonts w:cs="Microsoft Sans Serif"/>
        </w:rPr>
      </w:pPr>
      <w:r w:rsidRPr="549B226F">
        <w:rPr>
          <w:rFonts w:cs="Microsoft Sans Serif"/>
        </w:rPr>
        <w:t xml:space="preserve">L’accord cadre </w:t>
      </w:r>
      <w:r w:rsidR="006061C1" w:rsidRPr="549B226F">
        <w:rPr>
          <w:rFonts w:cs="Microsoft Sans Serif"/>
        </w:rPr>
        <w:t xml:space="preserve">pour le </w:t>
      </w:r>
      <w:r w:rsidR="006061C1" w:rsidRPr="549B226F">
        <w:rPr>
          <w:rFonts w:cs="Microsoft Sans Serif"/>
          <w:b/>
          <w:bCs/>
        </w:rPr>
        <w:t xml:space="preserve">lot </w:t>
      </w:r>
      <w:r w:rsidR="00A765EC" w:rsidRPr="549B226F">
        <w:rPr>
          <w:rFonts w:cs="Microsoft Sans Serif"/>
          <w:b/>
          <w:bCs/>
        </w:rPr>
        <w:t>2</w:t>
      </w:r>
      <w:r w:rsidR="006061C1" w:rsidRPr="549B226F">
        <w:rPr>
          <w:rFonts w:cs="Microsoft Sans Serif"/>
        </w:rPr>
        <w:t xml:space="preserve"> </w:t>
      </w:r>
      <w:r w:rsidRPr="549B226F">
        <w:rPr>
          <w:rFonts w:cs="Microsoft Sans Serif"/>
        </w:rPr>
        <w:t xml:space="preserve">est conclu sans engagement de montant minimal et avec un engagement de montant maximal de </w:t>
      </w:r>
      <w:r w:rsidR="0D657FBD" w:rsidRPr="549B226F">
        <w:rPr>
          <w:rFonts w:eastAsia="Calibri" w:cs="Microsoft Sans Serif"/>
          <w:b/>
          <w:bCs/>
          <w:color w:val="000000" w:themeColor="text1"/>
        </w:rPr>
        <w:t>702 060</w:t>
      </w:r>
      <w:r w:rsidR="00375EEB" w:rsidRPr="549B226F">
        <w:rPr>
          <w:rFonts w:eastAsia="Calibri" w:cs="Microsoft Sans Serif"/>
          <w:b/>
          <w:bCs/>
          <w:color w:val="000000" w:themeColor="text1"/>
        </w:rPr>
        <w:t xml:space="preserve"> </w:t>
      </w:r>
      <w:r w:rsidRPr="549B226F">
        <w:rPr>
          <w:rFonts w:cs="Microsoft Sans Serif"/>
          <w:b/>
          <w:bCs/>
          <w:color w:val="000000" w:themeColor="text1"/>
        </w:rPr>
        <w:t>EUR HT</w:t>
      </w:r>
      <w:r w:rsidR="005C26A2" w:rsidRPr="549B226F">
        <w:rPr>
          <w:rFonts w:cs="Microsoft Sans Serif"/>
          <w:color w:val="000000" w:themeColor="text1"/>
        </w:rPr>
        <w:t xml:space="preserve">. Le montant maximal est calculé sur la durée totale </w:t>
      </w:r>
      <w:r w:rsidR="00365FEF" w:rsidRPr="549B226F">
        <w:rPr>
          <w:rFonts w:cs="Microsoft Sans Serif"/>
          <w:color w:val="000000" w:themeColor="text1"/>
        </w:rPr>
        <w:t>de l’accord-cadre</w:t>
      </w:r>
      <w:r w:rsidR="005C26A2" w:rsidRPr="549B226F">
        <w:rPr>
          <w:rFonts w:cs="Microsoft Sans Serif"/>
          <w:color w:val="000000" w:themeColor="text1"/>
        </w:rPr>
        <w:t xml:space="preserve">, </w:t>
      </w:r>
      <w:r w:rsidR="00EE2667" w:rsidRPr="549B226F">
        <w:rPr>
          <w:rFonts w:cs="Microsoft Sans Serif"/>
          <w:color w:val="000000" w:themeColor="text1"/>
        </w:rPr>
        <w:t xml:space="preserve">reconductions comprises. </w:t>
      </w:r>
    </w:p>
    <w:p w14:paraId="0D5EF4D6" w14:textId="6379A5D3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…….…..</w:t>
            </w:r>
            <w:proofErr w:type="gramEnd"/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8AABBA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représentés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…….…..</w:t>
            </w:r>
            <w:proofErr w:type="gramEnd"/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…….…..</w:t>
            </w:r>
            <w:proofErr w:type="gramEnd"/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…….…..</w:t>
            </w:r>
            <w:proofErr w:type="gramEnd"/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D21399">
        <w:rPr>
          <w:rFonts w:cs="Microsoft Sans Serif"/>
        </w:rPr>
        <w:t xml:space="preserve">pris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5925BE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37C987AB" w14:textId="77777777" w:rsidR="00554AC0" w:rsidRDefault="00554AC0" w:rsidP="00554AC0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14992E4E" w14:textId="56B99BE5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</w:p>
    <w:p w14:paraId="0D5EF76D" w14:textId="1F7AEC1F" w:rsidR="007308DC" w:rsidRDefault="007308DC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294C6AC7">
        <w:rPr>
          <w:rFonts w:cs="Microsoft Sans Serif"/>
        </w:rPr>
        <w:t>Durée d</w:t>
      </w:r>
      <w:bookmarkEnd w:id="7"/>
      <w:bookmarkEnd w:id="8"/>
      <w:r w:rsidR="004051CB" w:rsidRPr="294C6AC7">
        <w:rPr>
          <w:rFonts w:cs="Microsoft Sans Serif"/>
        </w:rPr>
        <w:t>E l’accord-cadre</w:t>
      </w:r>
      <w:bookmarkEnd w:id="9"/>
      <w:r w:rsidR="00F72D2F" w:rsidRPr="294C6AC7">
        <w:rPr>
          <w:rFonts w:cs="Microsoft Sans Serif"/>
        </w:rPr>
        <w:t xml:space="preserve"> / RECONDUCTION(S)</w:t>
      </w:r>
    </w:p>
    <w:p w14:paraId="798DBFC7" w14:textId="6BC932FB" w:rsidR="00D76777" w:rsidRDefault="00D76777" w:rsidP="00D76777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13702B1D" w14:textId="5CF399CF" w:rsidR="0024753B" w:rsidRPr="0024753B" w:rsidRDefault="00CD6E11" w:rsidP="00CD6E11">
      <w:pPr>
        <w:jc w:val="both"/>
        <w:rPr>
          <w:rFonts w:cs="Microsoft Sans Serif"/>
        </w:rPr>
      </w:pPr>
      <w:r w:rsidRPr="00CD6E11">
        <w:rPr>
          <w:rFonts w:cs="Microsoft Sans Serif"/>
        </w:rPr>
        <w:t>Le présent accord-cadre est conclu à compter de sa date</w:t>
      </w:r>
      <w:r w:rsidRPr="00CD6E11">
        <w:rPr>
          <w:rFonts w:cs="Microsoft Sans Serif"/>
        </w:rPr>
        <w:br/>
        <w:t xml:space="preserve">de notification </w:t>
      </w:r>
      <w:r w:rsidRPr="00CD6E11">
        <w:rPr>
          <w:rFonts w:cs="Microsoft Sans Serif"/>
          <w:b/>
          <w:bCs/>
          <w:u w:val="single"/>
        </w:rPr>
        <w:t xml:space="preserve">pour une durée ferme </w:t>
      </w:r>
      <w:r>
        <w:rPr>
          <w:rFonts w:cs="Microsoft Sans Serif"/>
          <w:b/>
          <w:bCs/>
          <w:u w:val="single"/>
        </w:rPr>
        <w:t xml:space="preserve">allant </w:t>
      </w:r>
      <w:r w:rsidRPr="00CD6E11">
        <w:rPr>
          <w:rFonts w:cs="Microsoft Sans Serif"/>
          <w:b/>
          <w:bCs/>
          <w:u w:val="single"/>
        </w:rPr>
        <w:t>jusqu’au 31/12/2025</w:t>
      </w:r>
      <w:r>
        <w:rPr>
          <w:rFonts w:cs="Microsoft Sans Serif"/>
          <w:b/>
          <w:bCs/>
          <w:u w:val="single"/>
        </w:rPr>
        <w:t xml:space="preserve"> inclus</w:t>
      </w:r>
      <w:r>
        <w:rPr>
          <w:rFonts w:cs="Microsoft Sans Serif"/>
        </w:rPr>
        <w:t xml:space="preserve">. </w:t>
      </w:r>
    </w:p>
    <w:p w14:paraId="11C911F5" w14:textId="77777777" w:rsidR="0024753B" w:rsidRPr="00BA0562" w:rsidRDefault="0024753B" w:rsidP="00BA0562">
      <w:pPr>
        <w:jc w:val="both"/>
        <w:rPr>
          <w:rFonts w:cs="Microsoft Sans Serif"/>
        </w:rPr>
      </w:pPr>
    </w:p>
    <w:p w14:paraId="0D5EF778" w14:textId="562F380E" w:rsidR="007308DC" w:rsidRPr="00D21399" w:rsidRDefault="00D75BC2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0" w:name="_Toc391388751"/>
      <w:bookmarkEnd w:id="10"/>
    </w:p>
    <w:p w14:paraId="0D5EF77A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1" w:name="_Toc391388752"/>
      <w:bookmarkEnd w:id="11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2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2CA5F503" w:rsidR="008F57FA" w:rsidRDefault="008F57FA" w:rsidP="549B226F">
      <w:pPr>
        <w:spacing w:after="0" w:line="240" w:lineRule="auto"/>
        <w:jc w:val="both"/>
        <w:rPr>
          <w:rFonts w:cs="Microsoft Sans Serif"/>
        </w:rPr>
      </w:pPr>
      <w:r>
        <w:t xml:space="preserve">L’accord cadre pour le lot </w:t>
      </w:r>
      <w:r w:rsidR="00A765EC">
        <w:t>2</w:t>
      </w:r>
      <w:r>
        <w:t xml:space="preserve"> est conclu sans engagement de montant minimal </w:t>
      </w:r>
      <w:r w:rsidR="00365FEF">
        <w:t>et avec</w:t>
      </w:r>
      <w:r>
        <w:t xml:space="preserve"> un engagement de montant maximal de </w:t>
      </w:r>
      <w:r w:rsidR="04C78979" w:rsidRPr="549B226F">
        <w:rPr>
          <w:rFonts w:eastAsia="Calibri"/>
          <w:b/>
          <w:bCs/>
          <w:color w:val="000000" w:themeColor="text1"/>
        </w:rPr>
        <w:t>702 060</w:t>
      </w:r>
      <w:r w:rsidR="00375EEB" w:rsidRPr="549B226F">
        <w:rPr>
          <w:rFonts w:eastAsia="Calibri"/>
          <w:b/>
          <w:bCs/>
          <w:color w:val="000000" w:themeColor="text1"/>
        </w:rPr>
        <w:t xml:space="preserve"> </w:t>
      </w:r>
      <w:r w:rsidRPr="549B226F">
        <w:rPr>
          <w:rFonts w:cs="Microsoft Sans Serif"/>
          <w:b/>
          <w:bCs/>
          <w:color w:val="000000" w:themeColor="text1"/>
        </w:rPr>
        <w:t>EUR HT</w:t>
      </w:r>
      <w:r w:rsidRPr="549B226F">
        <w:rPr>
          <w:color w:val="000000" w:themeColor="text1"/>
        </w:rPr>
        <w:t>.</w:t>
      </w:r>
      <w:r w:rsidR="00365FEF" w:rsidRPr="549B226F">
        <w:rPr>
          <w:rFonts w:cs="Microsoft Sans Serif"/>
          <w:color w:val="000000" w:themeColor="text1"/>
        </w:rPr>
        <w:t xml:space="preserve"> Le montant maximal est calculé sur la durée totale de l’accord-cadre, </w:t>
      </w:r>
      <w:r w:rsidR="00EE2667" w:rsidRPr="549B226F">
        <w:rPr>
          <w:rFonts w:cs="Microsoft Sans Serif"/>
          <w:color w:val="000000" w:themeColor="text1"/>
        </w:rPr>
        <w:t xml:space="preserve">reconductions comprises. </w:t>
      </w:r>
    </w:p>
    <w:p w14:paraId="220EFA1B" w14:textId="0A88149C" w:rsidR="00AA4972" w:rsidRPr="00641ADF" w:rsidRDefault="00AA4972" w:rsidP="00365FEF">
      <w:pPr>
        <w:spacing w:after="0" w:line="240" w:lineRule="auto"/>
        <w:jc w:val="both"/>
        <w:rPr>
          <w:rFonts w:cs="Microsoft Sans Serif"/>
        </w:rPr>
      </w:pPr>
    </w:p>
    <w:p w14:paraId="0D9FF487" w14:textId="1ADCD09E" w:rsidR="00AA4972" w:rsidRPr="00641ADF" w:rsidRDefault="00AA4972" w:rsidP="00AA4972">
      <w:pPr>
        <w:rPr>
          <w:rFonts w:cs="Microsoft Sans Serif"/>
          <w:b/>
          <w:u w:val="single"/>
        </w:rPr>
      </w:pPr>
      <w:r w:rsidRPr="00641ADF">
        <w:rPr>
          <w:rFonts w:cs="Microsoft Sans Serif"/>
          <w:b/>
          <w:u w:val="single"/>
        </w:rPr>
        <w:t>Clause de réexamen du montant maximal de l’accord-cadre</w:t>
      </w:r>
      <w:r w:rsidRPr="00641ADF">
        <w:rPr>
          <w:rFonts w:cs="Microsoft Sans Serif"/>
          <w:b/>
        </w:rPr>
        <w:t xml:space="preserve"> : </w:t>
      </w:r>
    </w:p>
    <w:p w14:paraId="2AC36061" w14:textId="3F8BD3FA" w:rsidR="00E9593B" w:rsidRPr="00641ADF" w:rsidRDefault="00E9593B" w:rsidP="00AA4972">
      <w:pPr>
        <w:rPr>
          <w:rFonts w:cs="Microsoft Sans Serif"/>
          <w:b/>
          <w:u w:val="single"/>
        </w:rPr>
      </w:pPr>
    </w:p>
    <w:p w14:paraId="2F1EA48E" w14:textId="550CD37A" w:rsidR="00AA4972" w:rsidRPr="00641ADF" w:rsidRDefault="00AA4972" w:rsidP="00AA4972">
      <w:pPr>
        <w:spacing w:after="0" w:line="240" w:lineRule="auto"/>
        <w:jc w:val="both"/>
        <w:rPr>
          <w:rFonts w:cs="Microsoft Sans Serif"/>
        </w:rPr>
      </w:pPr>
      <w:r w:rsidRPr="705F97FE">
        <w:rPr>
          <w:rFonts w:cs="Microsoft Sans Serif"/>
        </w:rPr>
        <w:t xml:space="preserve">Si le montant maximal </w:t>
      </w:r>
      <w:r w:rsidR="0059700B">
        <w:t>ci-dessus</w:t>
      </w:r>
      <w:r w:rsidRPr="705F97FE">
        <w:rPr>
          <w:rFonts w:cs="Microsoft Sans Serif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705F97FE">
        <w:rPr>
          <w:rFonts w:cs="Microsoft Sans Serif"/>
          <w:highlight w:val="lightGray"/>
        </w:rPr>
        <w:t>article R.2194-1 du code de la commande publique</w:t>
      </w:r>
      <w:r w:rsidRPr="705F97FE">
        <w:rPr>
          <w:rFonts w:cs="Microsoft Sans Serif"/>
        </w:rPr>
        <w:t xml:space="preserve">. L’augmentation couverte par cette clause est de 15% du montant maximal du présent accord-cadre. Dans cette limite, cette augmentation ne saurait être prise en compte dans les montants de modification visés aux </w:t>
      </w:r>
      <w:r w:rsidRPr="705F97FE">
        <w:rPr>
          <w:rFonts w:cs="Microsoft Sans Serif"/>
          <w:highlight w:val="lightGray"/>
        </w:rPr>
        <w:t>articles R. 2194-8 e</w:t>
      </w:r>
      <w:r w:rsidR="001F4D27" w:rsidRPr="705F97FE">
        <w:rPr>
          <w:rFonts w:cs="Microsoft Sans Serif"/>
          <w:highlight w:val="lightGray"/>
        </w:rPr>
        <w:t>t</w:t>
      </w:r>
      <w:r w:rsidRPr="705F97FE">
        <w:rPr>
          <w:rFonts w:cs="Microsoft Sans Serif"/>
          <w:highlight w:val="lightGray"/>
        </w:rPr>
        <w:t xml:space="preserve"> R. 2194-9 du code de la commande publique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2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E85B0E5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</w:t>
      </w:r>
      <w:r w:rsidRPr="00D21399">
        <w:rPr>
          <w:rFonts w:cs="Microsoft Sans Serif"/>
          <w:color w:val="000000"/>
        </w:rPr>
        <w:lastRenderedPageBreak/>
        <w:t xml:space="preserve">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56571BB2" w14:textId="276BF7EE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4CA6A574" w14:textId="77777777" w:rsidR="00F92BF4" w:rsidRDefault="00F92BF4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3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3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4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4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22D27C67" w:rsidR="007308DC" w:rsidRPr="00D21399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14:paraId="5DA3916B" w14:textId="77777777" w:rsidR="006158CD" w:rsidRDefault="006158CD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i/>
          <w:u w:val="single"/>
        </w:rPr>
      </w:pPr>
      <w:bookmarkStart w:id="15" w:name="_Hlk14084103"/>
    </w:p>
    <w:p w14:paraId="42038C51" w14:textId="77777777" w:rsidR="00917819" w:rsidRPr="004071EB" w:rsidRDefault="00917819" w:rsidP="009178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16" w:name="_Hlk141713621"/>
      <w:bookmarkStart w:id="17" w:name="_Hlk81918985"/>
      <w:bookmarkEnd w:id="15"/>
      <w:r w:rsidRPr="004071EB">
        <w:rPr>
          <w:rFonts w:cs="Microsoft Sans Serif"/>
        </w:rPr>
        <w:t xml:space="preserve">Conformément à </w:t>
      </w:r>
      <w:r w:rsidRPr="00741B97">
        <w:rPr>
          <w:rFonts w:cs="Microsoft Sans Serif"/>
          <w:highlight w:val="lightGray"/>
        </w:rPr>
        <w:t>l’article 6.5 du CCAP</w:t>
      </w:r>
      <w:r w:rsidRPr="004071EB">
        <w:rPr>
          <w:rFonts w:cs="Microsoft Sans Serif"/>
        </w:rPr>
        <w:t>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14:paraId="2E993679" w14:textId="77777777" w:rsidR="00917819" w:rsidRDefault="00917819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71ED83A3" w14:textId="6CB67451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16"/>
    <w:p w14:paraId="33FB3581" w14:textId="77777777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0D322B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18" w:name="_Toc391388753"/>
      <w:bookmarkStart w:id="19" w:name="_Toc391388754"/>
      <w:bookmarkStart w:id="20" w:name="_Toc391388755"/>
      <w:bookmarkEnd w:id="18"/>
      <w:bookmarkEnd w:id="19"/>
      <w:bookmarkEnd w:id="20"/>
      <w:r w:rsidRPr="00384889">
        <w:t>ENGAGEMENT DU TITULAIRE EN MATIERE DE Responsabilité sociale et environnementale</w:t>
      </w:r>
    </w:p>
    <w:p w14:paraId="2F475BA4" w14:textId="665E02E5" w:rsidR="000D322B" w:rsidRDefault="000D322B" w:rsidP="000D322B">
      <w:pPr>
        <w:pStyle w:val="Titre2"/>
        <w:rPr>
          <w:highlight w:val="yellow"/>
        </w:rPr>
      </w:pPr>
    </w:p>
    <w:p w14:paraId="2AD2CFD5" w14:textId="70B0BF33" w:rsidR="00936431" w:rsidRPr="00554AC0" w:rsidRDefault="007D41EA" w:rsidP="00554AC0">
      <w:pPr>
        <w:jc w:val="both"/>
      </w:pPr>
      <w:bookmarkStart w:id="21" w:name="_Hlk83128226"/>
      <w:r w:rsidRPr="00CF516C">
        <w:t>Sans objet</w:t>
      </w:r>
      <w:bookmarkEnd w:id="21"/>
    </w:p>
    <w:p w14:paraId="09793FD9" w14:textId="77777777" w:rsidR="00936431" w:rsidRDefault="00936431" w:rsidP="00130A41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bookmarkEnd w:id="17"/>
    <w:p w14:paraId="0D5EF9DA" w14:textId="79FC11D3" w:rsidR="00247F7F" w:rsidRPr="002C1E18" w:rsidRDefault="00247F7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487B18"/>
    <w:p w14:paraId="48E69D3C" w14:textId="553F1BAF" w:rsidR="00895EE2" w:rsidRPr="00487B18" w:rsidRDefault="00895EE2" w:rsidP="00895EE2">
      <w:r w:rsidRPr="00487B18">
        <w:t xml:space="preserve">Le présent engagement ne vaut que si </w:t>
      </w:r>
      <w:r w:rsidRPr="00936431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</w:t>
      </w:r>
      <w:r w:rsidRPr="00554AC0">
        <w:t xml:space="preserve">un délai de six (6) mois à compter </w:t>
      </w:r>
      <w:r w:rsidRPr="00487B18">
        <w:t>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</w:t>
            </w:r>
            <w:proofErr w:type="gramStart"/>
            <w:r>
              <w:t>…….</w:t>
            </w:r>
            <w:proofErr w:type="gramEnd"/>
            <w:r>
              <w:t xml:space="preserve">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0" w14:textId="34BC0185" w:rsidR="00CE7E0A" w:rsidRPr="00F51BBB" w:rsidRDefault="00CE7E0A" w:rsidP="00554AC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cs="Microsoft Sans Serif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2" w:name="_Toc515468756"/>
    </w:p>
    <w:p w14:paraId="0D5EFA0C" w14:textId="62AD2360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2"/>
      <w:r w:rsidRPr="00D21399">
        <w:rPr>
          <w:rFonts w:cs="Microsoft Sans Serif"/>
          <w:sz w:val="22"/>
        </w:rPr>
        <w:t> </w:t>
      </w:r>
    </w:p>
    <w:p w14:paraId="09D7FE5C" w14:textId="0FF37DA9" w:rsidR="0033431D" w:rsidRPr="00554AC0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554AC0">
        <w:rPr>
          <w:rFonts w:cs="Microsoft Sans Serif"/>
        </w:rPr>
        <w:t>Annexe n°1 : Bordereau de Prix Unitaires (BPU)</w:t>
      </w:r>
    </w:p>
    <w:p w14:paraId="0C23BFEA" w14:textId="5D61341E" w:rsidR="00573871" w:rsidRPr="00554AC0" w:rsidRDefault="0033431D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r w:rsidRPr="00554AC0">
        <w:rPr>
          <w:rFonts w:cs="Microsoft Sans Serif"/>
        </w:rPr>
        <w:t>Annexe n°</w:t>
      </w:r>
      <w:r w:rsidR="004116D1" w:rsidRPr="00554AC0">
        <w:rPr>
          <w:rFonts w:cs="Microsoft Sans Serif"/>
        </w:rPr>
        <w:t>2</w:t>
      </w:r>
      <w:r w:rsidRPr="00554AC0">
        <w:rPr>
          <w:rFonts w:cs="Microsoft Sans Serif"/>
        </w:rPr>
        <w:t xml:space="preserve"> : </w:t>
      </w:r>
      <w:r w:rsidR="00F51BBB" w:rsidRPr="00554AC0">
        <w:rPr>
          <w:rFonts w:cs="Microsoft Sans Serif"/>
        </w:rPr>
        <w:t xml:space="preserve"> Modèle de formulaire de déclaration de sous-traitance (DC4 version SGP)</w:t>
      </w:r>
      <w:bookmarkStart w:id="23" w:name="_Toc522802493"/>
      <w:bookmarkStart w:id="24" w:name="_Toc524616238"/>
      <w:bookmarkEnd w:id="23"/>
      <w:bookmarkEnd w:id="24"/>
    </w:p>
    <w:sectPr w:rsidR="00573871" w:rsidRPr="00554AC0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23A9B" w14:textId="77777777" w:rsidR="0041627B" w:rsidRDefault="0041627B" w:rsidP="00CD2415">
      <w:pPr>
        <w:spacing w:after="0" w:line="240" w:lineRule="auto"/>
      </w:pPr>
      <w:r>
        <w:separator/>
      </w:r>
    </w:p>
  </w:endnote>
  <w:endnote w:type="continuationSeparator" w:id="0">
    <w:p w14:paraId="4E9879FF" w14:textId="77777777" w:rsidR="0041627B" w:rsidRDefault="0041627B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FA3D" w14:textId="0A43EBEA" w:rsidR="000D322B" w:rsidRPr="00FA623B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711B47">
      <w:rPr>
        <w:rFonts w:cs="Microsoft Sans Serif"/>
        <w:b/>
        <w:noProof/>
        <w:color w:val="4472C4" w:themeColor="accent5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451DA" id="_x0000_t202" coordsize="21600,21600" o:spt="202" path="m,l,21600r21600,l21600,xe">
              <v:stroke joinstyle="miter"/>
              <v:path gradientshapeok="t" o:connecttype="rect"/>
            </v:shapetype>
            <v:shape id="MSIPCM0fc14776b3978d12146971ee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2431BE4D" w14:textId="5F535160" w:rsidR="007148D9" w:rsidRPr="004D6E32" w:rsidRDefault="004D6E32" w:rsidP="004D6E32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31929" w:rsidRPr="00711B47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>202</w:t>
    </w:r>
    <w:r w:rsidR="00711B47" w:rsidRPr="00711B47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>5MAPA007</w:t>
    </w:r>
    <w:r w:rsidR="00E31929" w:rsidRPr="00711B47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 xml:space="preserve"> – Acte d’Engagement</w:t>
    </w:r>
    <w:r w:rsidR="000D322B" w:rsidRPr="00711B47">
      <w:rPr>
        <w:rStyle w:val="Rfrencelgre"/>
        <w:rFonts w:ascii="Microsoft Sans Serif" w:hAnsi="Microsoft Sans Serif" w:cs="Microsoft Sans Serif"/>
        <w:b/>
        <w:smallCaps w:val="0"/>
        <w:color w:val="4472C4" w:themeColor="accent5"/>
        <w:sz w:val="16"/>
        <w:szCs w:val="16"/>
      </w:rPr>
      <w:t xml:space="preserve"> </w:t>
    </w:r>
    <w:r w:rsidR="000D322B" w:rsidRPr="003452E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15F9E26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D89C6" w14:textId="77777777" w:rsidR="0041627B" w:rsidRDefault="0041627B" w:rsidP="00CD2415">
      <w:pPr>
        <w:spacing w:after="0" w:line="240" w:lineRule="auto"/>
      </w:pPr>
      <w:r>
        <w:separator/>
      </w:r>
    </w:p>
  </w:footnote>
  <w:footnote w:type="continuationSeparator" w:id="0">
    <w:p w14:paraId="5EE8371C" w14:textId="77777777" w:rsidR="0041627B" w:rsidRDefault="0041627B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2377E4B"/>
    <w:multiLevelType w:val="hybridMultilevel"/>
    <w:tmpl w:val="CE86A772"/>
    <w:lvl w:ilvl="0" w:tplc="00000002">
      <w:start w:val="7"/>
      <w:numFmt w:val="bullet"/>
      <w:lvlText w:val="-"/>
      <w:lvlJc w:val="left"/>
      <w:pPr>
        <w:ind w:left="720" w:hanging="360"/>
      </w:pPr>
      <w:rPr>
        <w:rFonts w:ascii="Palatino" w:hAnsi="Palatino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10925"/>
    <w:multiLevelType w:val="hybridMultilevel"/>
    <w:tmpl w:val="D1C64840"/>
    <w:lvl w:ilvl="0" w:tplc="7144A6A4">
      <w:numFmt w:val="bullet"/>
      <w:lvlText w:val="-"/>
      <w:lvlJc w:val="left"/>
      <w:pPr>
        <w:ind w:left="780" w:hanging="360"/>
      </w:pPr>
      <w:rPr>
        <w:rFonts w:ascii="Roboto" w:eastAsia="Times New Roman" w:hAnsi="Roboto" w:cs="Calibri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 w:numId="6" w16cid:durableId="345712147">
    <w:abstractNumId w:val="8"/>
  </w:num>
  <w:num w:numId="7" w16cid:durableId="181097368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5311"/>
    <w:rsid w:val="000057AC"/>
    <w:rsid w:val="00006516"/>
    <w:rsid w:val="00011325"/>
    <w:rsid w:val="00013FB3"/>
    <w:rsid w:val="00016146"/>
    <w:rsid w:val="00021D17"/>
    <w:rsid w:val="00021FCA"/>
    <w:rsid w:val="00024B74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14A0"/>
    <w:rsid w:val="000E3F37"/>
    <w:rsid w:val="000F26AD"/>
    <w:rsid w:val="000F44F6"/>
    <w:rsid w:val="00102A7D"/>
    <w:rsid w:val="0010381F"/>
    <w:rsid w:val="0010796D"/>
    <w:rsid w:val="0011048D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85FF1"/>
    <w:rsid w:val="00193100"/>
    <w:rsid w:val="0019557A"/>
    <w:rsid w:val="001A125A"/>
    <w:rsid w:val="001A1996"/>
    <w:rsid w:val="001A2DF0"/>
    <w:rsid w:val="001B086F"/>
    <w:rsid w:val="001B0A4B"/>
    <w:rsid w:val="001B3D2A"/>
    <w:rsid w:val="001B7815"/>
    <w:rsid w:val="001C2813"/>
    <w:rsid w:val="001D67B7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31013"/>
    <w:rsid w:val="002401CA"/>
    <w:rsid w:val="00245EE3"/>
    <w:rsid w:val="0024753B"/>
    <w:rsid w:val="0024776C"/>
    <w:rsid w:val="00247F7F"/>
    <w:rsid w:val="00251096"/>
    <w:rsid w:val="002611AA"/>
    <w:rsid w:val="00263FAF"/>
    <w:rsid w:val="002743E6"/>
    <w:rsid w:val="00276F44"/>
    <w:rsid w:val="00280666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09E7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4FB"/>
    <w:rsid w:val="0036389E"/>
    <w:rsid w:val="00365FEF"/>
    <w:rsid w:val="003729A5"/>
    <w:rsid w:val="00375EEB"/>
    <w:rsid w:val="0038402C"/>
    <w:rsid w:val="00384889"/>
    <w:rsid w:val="00393065"/>
    <w:rsid w:val="00397F4B"/>
    <w:rsid w:val="003A44C1"/>
    <w:rsid w:val="003A7116"/>
    <w:rsid w:val="003B3B32"/>
    <w:rsid w:val="003C3454"/>
    <w:rsid w:val="003C5082"/>
    <w:rsid w:val="003D33C2"/>
    <w:rsid w:val="003D736F"/>
    <w:rsid w:val="003D7772"/>
    <w:rsid w:val="003E52DB"/>
    <w:rsid w:val="003E6E8D"/>
    <w:rsid w:val="003F62BD"/>
    <w:rsid w:val="003F73FC"/>
    <w:rsid w:val="003F7BDF"/>
    <w:rsid w:val="004010D9"/>
    <w:rsid w:val="00402F5F"/>
    <w:rsid w:val="00404BFF"/>
    <w:rsid w:val="004051CB"/>
    <w:rsid w:val="00406C15"/>
    <w:rsid w:val="004116D1"/>
    <w:rsid w:val="0041627B"/>
    <w:rsid w:val="00421A07"/>
    <w:rsid w:val="00430A95"/>
    <w:rsid w:val="00443964"/>
    <w:rsid w:val="00452E08"/>
    <w:rsid w:val="004656F7"/>
    <w:rsid w:val="0046613B"/>
    <w:rsid w:val="00472504"/>
    <w:rsid w:val="004731CC"/>
    <w:rsid w:val="0048568E"/>
    <w:rsid w:val="00487B18"/>
    <w:rsid w:val="004934B8"/>
    <w:rsid w:val="004A7487"/>
    <w:rsid w:val="004D5CC9"/>
    <w:rsid w:val="004D6E32"/>
    <w:rsid w:val="004E1A1F"/>
    <w:rsid w:val="004E43BA"/>
    <w:rsid w:val="004E6D11"/>
    <w:rsid w:val="004E7560"/>
    <w:rsid w:val="004F3941"/>
    <w:rsid w:val="004F7AA1"/>
    <w:rsid w:val="00511E93"/>
    <w:rsid w:val="005133D0"/>
    <w:rsid w:val="005151A4"/>
    <w:rsid w:val="0051548C"/>
    <w:rsid w:val="00520655"/>
    <w:rsid w:val="005249D3"/>
    <w:rsid w:val="005351A2"/>
    <w:rsid w:val="00537296"/>
    <w:rsid w:val="005414EA"/>
    <w:rsid w:val="00542987"/>
    <w:rsid w:val="00543945"/>
    <w:rsid w:val="00554AC0"/>
    <w:rsid w:val="00560781"/>
    <w:rsid w:val="00564DE0"/>
    <w:rsid w:val="00570535"/>
    <w:rsid w:val="00573871"/>
    <w:rsid w:val="005740D4"/>
    <w:rsid w:val="0057628D"/>
    <w:rsid w:val="00584645"/>
    <w:rsid w:val="00586773"/>
    <w:rsid w:val="00596FAD"/>
    <w:rsid w:val="0059700B"/>
    <w:rsid w:val="005B0954"/>
    <w:rsid w:val="005B37C4"/>
    <w:rsid w:val="005B47A6"/>
    <w:rsid w:val="005B5A43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41ADF"/>
    <w:rsid w:val="0065018E"/>
    <w:rsid w:val="006535C8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A53"/>
    <w:rsid w:val="00693B89"/>
    <w:rsid w:val="006947B5"/>
    <w:rsid w:val="006A3069"/>
    <w:rsid w:val="006A5F34"/>
    <w:rsid w:val="006A612C"/>
    <w:rsid w:val="006A682F"/>
    <w:rsid w:val="006B299A"/>
    <w:rsid w:val="006B33C4"/>
    <w:rsid w:val="006B3C2E"/>
    <w:rsid w:val="006B4E98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1F16"/>
    <w:rsid w:val="00703FB5"/>
    <w:rsid w:val="00706BB5"/>
    <w:rsid w:val="00711B47"/>
    <w:rsid w:val="00712934"/>
    <w:rsid w:val="00713369"/>
    <w:rsid w:val="007148D9"/>
    <w:rsid w:val="00720ECE"/>
    <w:rsid w:val="00721E3B"/>
    <w:rsid w:val="00724058"/>
    <w:rsid w:val="00724907"/>
    <w:rsid w:val="00724B36"/>
    <w:rsid w:val="007256CE"/>
    <w:rsid w:val="0072676F"/>
    <w:rsid w:val="007308DC"/>
    <w:rsid w:val="00741B3E"/>
    <w:rsid w:val="00741B97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C4734"/>
    <w:rsid w:val="007C7E1A"/>
    <w:rsid w:val="007D1FF2"/>
    <w:rsid w:val="007D3B41"/>
    <w:rsid w:val="007D41EA"/>
    <w:rsid w:val="007E01D4"/>
    <w:rsid w:val="007E0D48"/>
    <w:rsid w:val="007E59E3"/>
    <w:rsid w:val="007E7A29"/>
    <w:rsid w:val="007F412F"/>
    <w:rsid w:val="00801BCF"/>
    <w:rsid w:val="00803C15"/>
    <w:rsid w:val="008041F5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85D7F"/>
    <w:rsid w:val="00885E81"/>
    <w:rsid w:val="00890552"/>
    <w:rsid w:val="00890899"/>
    <w:rsid w:val="00892F12"/>
    <w:rsid w:val="0089309A"/>
    <w:rsid w:val="00895EE2"/>
    <w:rsid w:val="008A266F"/>
    <w:rsid w:val="008A3B4E"/>
    <w:rsid w:val="008A6A6B"/>
    <w:rsid w:val="008A6D66"/>
    <w:rsid w:val="008B4E45"/>
    <w:rsid w:val="008B5AD4"/>
    <w:rsid w:val="008B635E"/>
    <w:rsid w:val="008C52E6"/>
    <w:rsid w:val="008C5E7B"/>
    <w:rsid w:val="008C70D3"/>
    <w:rsid w:val="008C7A06"/>
    <w:rsid w:val="008D0598"/>
    <w:rsid w:val="008D0DBE"/>
    <w:rsid w:val="008D1FBA"/>
    <w:rsid w:val="008D4C73"/>
    <w:rsid w:val="008D6C1D"/>
    <w:rsid w:val="008E4B65"/>
    <w:rsid w:val="008F118F"/>
    <w:rsid w:val="008F1A35"/>
    <w:rsid w:val="008F484D"/>
    <w:rsid w:val="008F57FA"/>
    <w:rsid w:val="00901221"/>
    <w:rsid w:val="00907C40"/>
    <w:rsid w:val="00907D5E"/>
    <w:rsid w:val="00915B06"/>
    <w:rsid w:val="00917819"/>
    <w:rsid w:val="0092459F"/>
    <w:rsid w:val="0093483E"/>
    <w:rsid w:val="00934FBF"/>
    <w:rsid w:val="00936431"/>
    <w:rsid w:val="009455DD"/>
    <w:rsid w:val="00964F33"/>
    <w:rsid w:val="0096680B"/>
    <w:rsid w:val="00981F35"/>
    <w:rsid w:val="00982729"/>
    <w:rsid w:val="00983923"/>
    <w:rsid w:val="00987CE9"/>
    <w:rsid w:val="00990B82"/>
    <w:rsid w:val="00997551"/>
    <w:rsid w:val="00997FD5"/>
    <w:rsid w:val="009A1F7E"/>
    <w:rsid w:val="009B4CBA"/>
    <w:rsid w:val="009B6BDC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A013A0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48E7"/>
    <w:rsid w:val="00A353CE"/>
    <w:rsid w:val="00A40B2D"/>
    <w:rsid w:val="00A4603C"/>
    <w:rsid w:val="00A4696B"/>
    <w:rsid w:val="00A606F6"/>
    <w:rsid w:val="00A60CEC"/>
    <w:rsid w:val="00A626F3"/>
    <w:rsid w:val="00A63B7B"/>
    <w:rsid w:val="00A64E99"/>
    <w:rsid w:val="00A74266"/>
    <w:rsid w:val="00A74631"/>
    <w:rsid w:val="00A765EC"/>
    <w:rsid w:val="00A84329"/>
    <w:rsid w:val="00A84F1D"/>
    <w:rsid w:val="00A92763"/>
    <w:rsid w:val="00A9613A"/>
    <w:rsid w:val="00AA2E03"/>
    <w:rsid w:val="00AA4972"/>
    <w:rsid w:val="00AB2745"/>
    <w:rsid w:val="00AB6B2A"/>
    <w:rsid w:val="00AB7A13"/>
    <w:rsid w:val="00AC0CA1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51646"/>
    <w:rsid w:val="00B52D96"/>
    <w:rsid w:val="00B65A02"/>
    <w:rsid w:val="00B770FB"/>
    <w:rsid w:val="00B90E48"/>
    <w:rsid w:val="00B923D2"/>
    <w:rsid w:val="00B95DA7"/>
    <w:rsid w:val="00B9747D"/>
    <w:rsid w:val="00BA0562"/>
    <w:rsid w:val="00BA3086"/>
    <w:rsid w:val="00BA59E6"/>
    <w:rsid w:val="00BB1DC5"/>
    <w:rsid w:val="00BB2DE5"/>
    <w:rsid w:val="00BB33AD"/>
    <w:rsid w:val="00BC2CAA"/>
    <w:rsid w:val="00BC6D13"/>
    <w:rsid w:val="00BD396C"/>
    <w:rsid w:val="00BE4C16"/>
    <w:rsid w:val="00BE5157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E1E"/>
    <w:rsid w:val="00C70FAF"/>
    <w:rsid w:val="00C71A1A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D6E11"/>
    <w:rsid w:val="00CE5361"/>
    <w:rsid w:val="00CE7E0A"/>
    <w:rsid w:val="00CF1F95"/>
    <w:rsid w:val="00CF3D2B"/>
    <w:rsid w:val="00CF4D0F"/>
    <w:rsid w:val="00D01850"/>
    <w:rsid w:val="00D02FF2"/>
    <w:rsid w:val="00D04DEE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D60DD"/>
    <w:rsid w:val="00DE0A13"/>
    <w:rsid w:val="00DE7D19"/>
    <w:rsid w:val="00DF69B4"/>
    <w:rsid w:val="00DF69FB"/>
    <w:rsid w:val="00E0204C"/>
    <w:rsid w:val="00E02782"/>
    <w:rsid w:val="00E032BC"/>
    <w:rsid w:val="00E05CCA"/>
    <w:rsid w:val="00E12F4A"/>
    <w:rsid w:val="00E222B2"/>
    <w:rsid w:val="00E31929"/>
    <w:rsid w:val="00E32EAF"/>
    <w:rsid w:val="00E45A71"/>
    <w:rsid w:val="00E5419B"/>
    <w:rsid w:val="00E57B31"/>
    <w:rsid w:val="00E63D8C"/>
    <w:rsid w:val="00E700A5"/>
    <w:rsid w:val="00E72DDF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377C"/>
    <w:rsid w:val="00EC589C"/>
    <w:rsid w:val="00ED012E"/>
    <w:rsid w:val="00ED16F6"/>
    <w:rsid w:val="00ED18FA"/>
    <w:rsid w:val="00ED2E66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7F4C"/>
    <w:rsid w:val="00F51BBB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C69A4"/>
    <w:rsid w:val="00FD0612"/>
    <w:rsid w:val="00FE244A"/>
    <w:rsid w:val="00FE7115"/>
    <w:rsid w:val="00FE7304"/>
    <w:rsid w:val="00FE7763"/>
    <w:rsid w:val="00FF2FE8"/>
    <w:rsid w:val="04C78979"/>
    <w:rsid w:val="0D657FBD"/>
    <w:rsid w:val="100B9C02"/>
    <w:rsid w:val="171E5616"/>
    <w:rsid w:val="19E0D907"/>
    <w:rsid w:val="294C6AC7"/>
    <w:rsid w:val="35F0EF56"/>
    <w:rsid w:val="3F856517"/>
    <w:rsid w:val="53A5F9CE"/>
    <w:rsid w:val="549B226F"/>
    <w:rsid w:val="705F97FE"/>
    <w:rsid w:val="7546778E"/>
    <w:rsid w:val="7F71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E5B7D"/>
    <w:rsid w:val="000F44F6"/>
    <w:rsid w:val="00100AB1"/>
    <w:rsid w:val="00157FF0"/>
    <w:rsid w:val="001A0A52"/>
    <w:rsid w:val="001A1996"/>
    <w:rsid w:val="001C5006"/>
    <w:rsid w:val="001D5A17"/>
    <w:rsid w:val="001F4302"/>
    <w:rsid w:val="001F56A5"/>
    <w:rsid w:val="00201F2A"/>
    <w:rsid w:val="0021775B"/>
    <w:rsid w:val="00224CA5"/>
    <w:rsid w:val="00227E8B"/>
    <w:rsid w:val="00231013"/>
    <w:rsid w:val="002822D1"/>
    <w:rsid w:val="00284523"/>
    <w:rsid w:val="0028521F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634FB"/>
    <w:rsid w:val="0038402C"/>
    <w:rsid w:val="00392767"/>
    <w:rsid w:val="003B5A33"/>
    <w:rsid w:val="003D3A82"/>
    <w:rsid w:val="00413794"/>
    <w:rsid w:val="00421A07"/>
    <w:rsid w:val="00435352"/>
    <w:rsid w:val="004431FB"/>
    <w:rsid w:val="00443964"/>
    <w:rsid w:val="004656F7"/>
    <w:rsid w:val="00472504"/>
    <w:rsid w:val="004816B8"/>
    <w:rsid w:val="00495797"/>
    <w:rsid w:val="004C4914"/>
    <w:rsid w:val="005012DB"/>
    <w:rsid w:val="00556610"/>
    <w:rsid w:val="00564DA7"/>
    <w:rsid w:val="005920F4"/>
    <w:rsid w:val="00594DBC"/>
    <w:rsid w:val="005A4FE7"/>
    <w:rsid w:val="005B0962"/>
    <w:rsid w:val="0065292F"/>
    <w:rsid w:val="00652B54"/>
    <w:rsid w:val="0066767C"/>
    <w:rsid w:val="00682554"/>
    <w:rsid w:val="006C43B8"/>
    <w:rsid w:val="006D2141"/>
    <w:rsid w:val="006E3FB2"/>
    <w:rsid w:val="00724907"/>
    <w:rsid w:val="00730783"/>
    <w:rsid w:val="007525B4"/>
    <w:rsid w:val="00782662"/>
    <w:rsid w:val="007943FC"/>
    <w:rsid w:val="007962FF"/>
    <w:rsid w:val="007B0811"/>
    <w:rsid w:val="007B0E3C"/>
    <w:rsid w:val="00803C15"/>
    <w:rsid w:val="008041F5"/>
    <w:rsid w:val="008067BA"/>
    <w:rsid w:val="0081466E"/>
    <w:rsid w:val="008230D1"/>
    <w:rsid w:val="00826D4F"/>
    <w:rsid w:val="00826FC2"/>
    <w:rsid w:val="00833043"/>
    <w:rsid w:val="00872555"/>
    <w:rsid w:val="00886271"/>
    <w:rsid w:val="008A1C54"/>
    <w:rsid w:val="008D6C1D"/>
    <w:rsid w:val="008E2F8A"/>
    <w:rsid w:val="008E4B65"/>
    <w:rsid w:val="00907D5E"/>
    <w:rsid w:val="0091100E"/>
    <w:rsid w:val="00932936"/>
    <w:rsid w:val="009422C5"/>
    <w:rsid w:val="00952B23"/>
    <w:rsid w:val="0095733B"/>
    <w:rsid w:val="00983923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0CA1"/>
    <w:rsid w:val="00AC5E37"/>
    <w:rsid w:val="00AD1655"/>
    <w:rsid w:val="00AD2409"/>
    <w:rsid w:val="00B3277E"/>
    <w:rsid w:val="00B348F8"/>
    <w:rsid w:val="00B770FB"/>
    <w:rsid w:val="00B840C5"/>
    <w:rsid w:val="00B84EC1"/>
    <w:rsid w:val="00B97A6A"/>
    <w:rsid w:val="00BA3086"/>
    <w:rsid w:val="00BA59E6"/>
    <w:rsid w:val="00BE5157"/>
    <w:rsid w:val="00BF2776"/>
    <w:rsid w:val="00C27B91"/>
    <w:rsid w:val="00C421CB"/>
    <w:rsid w:val="00CB4393"/>
    <w:rsid w:val="00CD0F6A"/>
    <w:rsid w:val="00CE44CC"/>
    <w:rsid w:val="00D01850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C69A4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5114761b-fdc8-4635-9a0a-3eb103eb6c66"/>
    <ds:schemaRef ds:uri="http://schemas.microsoft.com/office/infopath/2007/PartnerControls"/>
    <ds:schemaRef ds:uri="http://schemas.openxmlformats.org/package/2006/metadata/core-properties"/>
    <ds:schemaRef ds:uri="633c4bbb-4abb-4318-892e-0c6f363c1b78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A991E04-E059-4C8D-A16E-62A36ECA5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c4bbb-4abb-4318-892e-0c6f363c1b78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2186</Words>
  <Characters>16364</Characters>
  <Application>Microsoft Office Word</Application>
  <DocSecurity>0</DocSecurity>
  <Lines>822</Lines>
  <Paragraphs>236</Paragraphs>
  <ScaleCrop>false</ScaleCrop>
  <Company>Interpublic Group</Company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Soizic Coire</cp:lastModifiedBy>
  <cp:revision>18</cp:revision>
  <cp:lastPrinted>2018-10-05T16:40:00Z</cp:lastPrinted>
  <dcterms:created xsi:type="dcterms:W3CDTF">2025-07-15T09:35:00Z</dcterms:created>
  <dcterms:modified xsi:type="dcterms:W3CDTF">2025-12-15T08:19:00Z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0x0101003195AF41A144594FAB8A013E1B18F3DA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  <property fmtid="{D5CDD505-2E9C-101B-9397-08002B2CF9AE}" pid="11" name="docLang">
    <vt:lpwstr>fr</vt:lpwstr>
  </property>
</Properties>
</file>